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b8b5a4eeb4a1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36820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SATNICA ĐAKOVAČKA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804.004,45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1.018.507,84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633.525,44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551.532,28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170.479,01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466.975,56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273,9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178.394,86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373.024,99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178.394,86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373.024,99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209,1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39.390,54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39.309,54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39.390,54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39.309,54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54.641,03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1. UVOD</w:t>
      </w:r>
    </w:p>
    <w:p>
      <w:r>
        <w:t xml:space="preserve">U skladu s odredbama Pravilnika o financijskom izvještavanju u proračunskom računovodstvu (Narodne Novine, br. 3/15, 93/15, 135/15, 2/17, 28/17, 112/18 i 126/19.) i Okružnice o predaji i konsolidaciji financijskih izvještaja proračuna, proračunskih i izvanproračunskih korisnika državnog proračuna te proračunskih i izvanproračunskih korisnika proračuna jedinica lokalne i područne (regionalne) samouprave za razdoblje 1. siječnja do 31. prosinca 2024. godine, Ministarstva financija, Klasa: 400-02/20-01/29; Urbroj: 513-05-03-20-12 od 30. prosinca 2020., sastavljen je Financijski izvještaj Općine Satnica Đakovačka za razdoblje siječanj – lipanj 2026. godine koji se sastoji od: </w:t>
      </w:r>
    </w:p>
    <w:p>
      <w:r>
        <w:t xml:space="preserve">-  Izvještaja o prihodima i rashodima, primicima i izdacima (Obrazac PR-RAS),</w:t>
      </w:r>
    </w:p>
    <w:p>
      <w:r>
        <w:t xml:space="preserve">-  Izvještaja o obvezama (Obrazac OBVEZE) i ovih Bilješki.</w:t>
      </w:r>
    </w:p>
    <w:p>
      <w:r>
        <w:t xml:space="preserve">Ukupni prihodi poslovanja i izvjštajnom razdoblju iznose 1.018.507,84€ što je 26,7% više nego u istom razdoblju prošle godine.</w:t>
      </w:r>
    </w:p>
    <w:p>
      <w:r>
        <w:t xml:space="preserve">Ukupni rashodi poslovanja 551.532,28€ što je za 13% manje nego u istom razdoblju prošle godine, dok su rashodi za nabavu nefinacijske imovine  iznosili 373.024,99€  tj 109% više nego u istom razdoblju prošle godine.</w:t>
      </w:r>
    </w:p>
    <w:p>
      <w:r>
        <w:t xml:space="preserve">Poslovanjem u 1 polugodištu Općina Satnica ostvarila je višak prihoda i primitaka u iznosu od 54.641,03. razlog višak je trebao biti puno veći međutim nije nam još priznat predujam u iznosu od 306.000,00€ za izgradnju biciklističke staze. 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>
      <w:r>
        <w:t xml:space="preserve">Bilješkama se obrazlažu numerički podaci i veća odstupanja iskazana u obrascima</w:t>
      </w:r>
    </w:p>
    <w:p>
      <w:r>
        <w:t xml:space="preserve">Financijskog izvještaja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804.004,45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1.018.507,84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126,7</w:t>
            </w:r>
          </w:p>
        </w:tc>
      </w:tr>
    </w:tbl>
    <w:p>
      <w:pPr>
        <w:spacing w:before="0" w:after="0"/>
      </w:pPr>
    </w:p>
    <w:p>
      <w:r>
        <w:t xml:space="preserve">Znatno veći prihodi u odnosu na isto vrijeme prošle godine+26,7% je respektibilan rast prihoda.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202.020,07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270.097,52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133,7</w:t>
            </w:r>
          </w:p>
        </w:tc>
      </w:tr>
    </w:tbl>
    <w:p>
      <w:pPr>
        <w:spacing w:before="0" w:after="0"/>
      </w:pPr>
    </w:p>
    <w:p>
      <w:r>
        <w:t xml:space="preserve">Rast poreznih prihoda je odraz ukupnog gospodarstva na nacionalnoj razinii povećanje od 33,7% je značajno.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18.512,92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4.472,76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24,2</w:t>
            </w:r>
          </w:p>
        </w:tc>
      </w:tr>
    </w:tbl>
    <w:p>
      <w:pPr>
        <w:spacing w:before="0" w:after="0"/>
      </w:pPr>
    </w:p>
    <w:p>
      <w:r>
        <w:t xml:space="preserve">Porez na promet nekretnina je značajno smanjen, očekivano s obzirom da je smanjenja aktivnost prodaje/kupnje nekretnina na svim razina.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110.689,04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7906,4</w:t>
            </w:r>
          </w:p>
        </w:tc>
      </w:tr>
    </w:tbl>
    <w:p>
      <w:pPr>
        <w:spacing w:before="0" w:after="0"/>
      </w:pPr>
    </w:p>
    <w:p>
      <w:r>
        <w:t xml:space="preserve">Početkom godine isplaćeno nam je sufinanciranje proedbu projekta "sadnje drvoreda" koji je proveden u 2025. godini preko Fonda za zaštitu okoliša.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pruženih usluga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6615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6.134,78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Iako su Hrvatske Vode preuzele naplatu NUV napravljen je konačni obračun te su sredstva naplaćena.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633.525,44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551.532,28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87,1</w:t>
            </w:r>
          </w:p>
        </w:tc>
      </w:tr>
    </w:tbl>
    <w:p>
      <w:pPr>
        <w:spacing w:before="0" w:after="0"/>
      </w:pPr>
    </w:p>
    <w:p>
      <w:r>
        <w:t xml:space="preserve">Ukupni rashodi poslovanja su znatno manji nego protekle godine. gotovo 82.000,00€ manje.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165.041,69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173.839,14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105,3</w:t>
            </w:r>
          </w:p>
        </w:tc>
      </w:tr>
    </w:tbl>
    <w:p>
      <w:pPr>
        <w:spacing w:before="0" w:after="0"/>
      </w:pPr>
    </w:p>
    <w:p>
      <w:r>
        <w:t xml:space="preserve">Blagi rast plaća u odnosu na isti razdoblje protekle godine +5,3%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147.965,95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76.999,52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52,0</w:t>
            </w:r>
          </w:p>
        </w:tc>
      </w:tr>
    </w:tbl>
    <w:p>
      <w:pPr>
        <w:spacing w:before="0" w:after="0"/>
      </w:pPr>
    </w:p>
    <w:p>
      <w:r>
        <w:t xml:space="preserve">U proteklom izvještajnom razdoblju bilo je značajnih troškova održavanja najviše lokalnih cesta, u ovoj godini ti troškovi su znatno manji.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7.430,00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16.495,00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222,0</w:t>
            </w:r>
          </w:p>
        </w:tc>
      </w:tr>
    </w:tbl>
    <w:p>
      <w:pPr>
        <w:spacing w:before="0" w:after="0"/>
      </w:pPr>
    </w:p>
    <w:p>
      <w:r>
        <w:t xml:space="preserve">Tijekom ove godine povećali smo pripremu projektnih aktivnosti za buduće razdoblje, tako da su povećni rashodi za inteletualne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283,24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5.689,60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2008,8</w:t>
            </w:r>
          </w:p>
        </w:tc>
      </w:tr>
    </w:tbl>
    <w:p>
      <w:pPr>
        <w:spacing w:before="0" w:after="0"/>
      </w:pPr>
    </w:p>
    <w:p>
      <w:r>
        <w:t xml:space="preserve">Pristojbe vezane uz gospodarnje otpada sa područja JLS.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redovne djelatnosti (šifre 3672 do 3674)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51.279,63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62.873,22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122,6</w:t>
            </w:r>
          </w:p>
        </w:tc>
      </w:tr>
    </w:tbl>
    <w:p>
      <w:pPr>
        <w:spacing w:before="0" w:after="0"/>
      </w:pPr>
    </w:p>
    <w:p>
      <w:r>
        <w:t xml:space="preserve">Značajno su porasli rashodi proračunskog korisnika dječjeg vrtića, iako su uvedene mjere štednje rast od 22,6% je opravdan.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178.394,86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373.024,99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209,1</w:t>
            </w:r>
          </w:p>
        </w:tc>
      </w:tr>
    </w:tbl>
    <w:p>
      <w:pPr>
        <w:spacing w:before="0" w:after="0"/>
      </w:pPr>
    </w:p>
    <w:p>
      <w:r>
        <w:t xml:space="preserve">Značajno povećanje šifre 4  Rashodi za nabavu nefinancijske imovine od gotovo 110% u donosu na isto razdoblje prošle godine. Razlog povećanje je provedba projekta " izgradnja Biciklističke staze" faza 1 i 2.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Satnica Đakovačka nema dospjelih obveza na dan 30.06.2026.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589.643,14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Satnica Đakovačka redovno i u roku plaća obvezu za dugooročni kredit HBOR-a.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377.813,66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na Šifri 27 imamo najveće povećanje odnosno na kontu 27511 obveze za Eu predujmove, u travnju 2026. isplaćen nam je predujam za provedbu EU projekta u iznosu 306.441,42€.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Trenutno provodimo 2 projekta, "Zaželi" i izgradnja biciklističke staze(kohezijski fond) koji je počeo  u proljeće ove godine.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e642b0b426f4287" /></Relationships>
</file>